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CEA" w:rsidRDefault="00086CEA" w:rsidP="00086CEA">
      <w:pPr>
        <w:pStyle w:val="4"/>
        <w:rPr>
          <w:lang w:val="ru-RU"/>
        </w:rPr>
      </w:pPr>
      <w:r>
        <w:rPr>
          <w:lang w:val="ru-RU"/>
        </w:rPr>
        <w:t>Лекция 8.</w:t>
      </w:r>
    </w:p>
    <w:p w:rsidR="00086CEA" w:rsidRDefault="00086CEA" w:rsidP="00086CEA">
      <w:r>
        <w:t>Квантовое усиление электромагнитных полей. Уширение спектральных линий. Изменение разности населенностей уровней в двухуровневой системе. Использование спектральных линий в качестве узкополосных фильтров. Стандарты частоты с квантовым дискриминатором.</w:t>
      </w:r>
    </w:p>
    <w:p w:rsidR="002F15CC" w:rsidRDefault="002F15CC"/>
    <w:p w:rsidR="00747A63" w:rsidRDefault="00747A63">
      <w:pPr>
        <w:rPr>
          <w:i/>
        </w:rPr>
      </w:pPr>
      <w:r>
        <w:rPr>
          <w:i/>
        </w:rPr>
        <w:t>Конспект</w:t>
      </w:r>
    </w:p>
    <w:p w:rsidR="005F486A" w:rsidRDefault="005F486A" w:rsidP="005F486A">
      <w:r>
        <w:t>Основываясь на результатах лекции 6, форму линии магнитного резонанса при действии переменного поля амплитудой 2</w:t>
      </w:r>
      <w:r w:rsidRPr="002936BA">
        <w:rPr>
          <w:i/>
        </w:rPr>
        <w:t>В</w:t>
      </w:r>
      <w:r>
        <w:rPr>
          <w:vertAlign w:val="subscript"/>
        </w:rPr>
        <w:t>1</w:t>
      </w:r>
      <w:r>
        <w:t xml:space="preserve"> можно описать выражением:</w:t>
      </w:r>
    </w:p>
    <w:p w:rsidR="005F486A" w:rsidRDefault="005F486A" w:rsidP="005F486A">
      <w:r w:rsidRPr="00195FEA">
        <w:rPr>
          <w:position w:val="-32"/>
        </w:rPr>
        <w:object w:dxaOrig="344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41.25pt" o:ole="">
            <v:imagedata r:id="rId6" o:title=""/>
          </v:shape>
          <o:OLEObject Type="Embed" ProgID="Equation.3" ShapeID="_x0000_i1025" DrawAspect="Content" ObjectID="_1322248049" r:id="rId7"/>
        </w:object>
      </w:r>
      <w:r>
        <w:t xml:space="preserve">   (10)</w:t>
      </w:r>
    </w:p>
    <w:p w:rsidR="005F486A" w:rsidRDefault="005F486A" w:rsidP="005F486A">
      <w:r>
        <w:t xml:space="preserve">При малых сигналах </w:t>
      </w:r>
      <w:r w:rsidRPr="003E1108">
        <w:rPr>
          <w:position w:val="-10"/>
        </w:rPr>
        <w:object w:dxaOrig="940" w:dyaOrig="380">
          <v:shape id="_x0000_i1026" type="#_x0000_t75" style="width:47.25pt;height:18.75pt" o:ole="">
            <v:imagedata r:id="rId8" o:title=""/>
          </v:shape>
          <o:OLEObject Type="Embed" ProgID="Equation.3" ShapeID="_x0000_i1026" DrawAspect="Content" ObjectID="_1322248050" r:id="rId9"/>
        </w:object>
      </w:r>
      <w:r w:rsidRPr="00195FEA">
        <w:t>&lt;&lt;1</w:t>
      </w:r>
      <w:r>
        <w:t xml:space="preserve"> эта форма аналогична амплитудно-частотной характеристике колебательного контура с постоянной времени </w:t>
      </w:r>
      <w:r>
        <w:rPr>
          <w:i/>
        </w:rPr>
        <w:t>Т</w:t>
      </w:r>
      <w:r>
        <w:rPr>
          <w:vertAlign w:val="subscript"/>
        </w:rPr>
        <w:t>2</w:t>
      </w:r>
      <w:r>
        <w:t>. Отсюда вытекает возможность применения квантовых систем, основанных на ЭПР и ЯМР в приборах, где могут использоваться их амплитудно-частотные и фазово-частотные характеристики.</w:t>
      </w:r>
    </w:p>
    <w:p w:rsidR="005F486A" w:rsidRDefault="005F486A" w:rsidP="005F486A">
      <w:r>
        <w:t>Достоинства спиновых фильтрующих систем:</w:t>
      </w:r>
    </w:p>
    <w:p w:rsidR="005F486A" w:rsidRDefault="005F486A" w:rsidP="005F486A">
      <w:r>
        <w:t>1. Очень высокая добротность резонансной линии отдельного спинового пакета. (10</w:t>
      </w:r>
      <w:r>
        <w:rPr>
          <w:vertAlign w:val="superscript"/>
        </w:rPr>
        <w:t>6</w:t>
      </w:r>
      <w:r>
        <w:t xml:space="preserve"> – 10</w:t>
      </w:r>
      <w:r>
        <w:rPr>
          <w:vertAlign w:val="superscript"/>
        </w:rPr>
        <w:t>7</w:t>
      </w:r>
      <w:r>
        <w:t>).</w:t>
      </w:r>
    </w:p>
    <w:p w:rsidR="005F486A" w:rsidRDefault="005F486A" w:rsidP="005F486A">
      <w:r>
        <w:t xml:space="preserve">2. Возможность построения частотно-избирательных ограничителей с высокой избирательностью. </w:t>
      </w:r>
    </w:p>
    <w:p w:rsidR="005F486A" w:rsidRDefault="005F486A" w:rsidP="005F486A">
      <w:r>
        <w:t>3. Возможность построения регулируемых гребенчатых фильтров с произвольным расположением зубцов и высокой степенью межзубцового подавления. Число и расположение зубцов могут изменяться путем электрической перестройки вспомогательных генераторов модулирующих частот.</w:t>
      </w:r>
    </w:p>
    <w:p w:rsidR="005F486A" w:rsidRDefault="005F486A" w:rsidP="005F486A">
      <w:r>
        <w:t>4. Возможность построения спиновых генераторов со спектрально чистым выходным сигналом</w:t>
      </w:r>
    </w:p>
    <w:p w:rsidR="005F486A" w:rsidRDefault="005F486A" w:rsidP="005F486A">
      <w:r>
        <w:t>5. Возможность построения очень чувствительных магнитометрических устройств с фазовым методом измерения, использующих высокую крутизну фазово-частотной характеристики спинового фильтра.</w:t>
      </w:r>
    </w:p>
    <w:p w:rsidR="005F486A" w:rsidRPr="009157F6" w:rsidRDefault="005F486A" w:rsidP="005F486A"/>
    <w:p w:rsidR="00D64C94" w:rsidRDefault="00D64C94">
      <w:r>
        <w:t xml:space="preserve">Пример использования квантового перехода для стандарта частот. </w:t>
      </w:r>
    </w:p>
    <w:p w:rsidR="00CD0EE4" w:rsidRDefault="00CD0EE4">
      <w:r>
        <w:object w:dxaOrig="3957" w:dyaOrig="3296">
          <v:shape id="_x0000_i1027" type="#_x0000_t75" style="width:198pt;height:165pt" o:ole="">
            <v:imagedata r:id="rId10" o:title=""/>
          </v:shape>
          <o:OLEObject Type="Embed" ProgID="Visio.Drawing.11" ShapeID="_x0000_i1027" DrawAspect="Content" ObjectID="_1322248051" r:id="rId11"/>
        </w:object>
      </w:r>
    </w:p>
    <w:p w:rsidR="00D64C94" w:rsidRDefault="00D64C94">
      <w:r>
        <w:t xml:space="preserve">В этих приборах спектральная линия перехода используется в качестве узкополосного фильтра для стабилизации вспомогательного кварцевого генератора. </w:t>
      </w:r>
    </w:p>
    <w:p w:rsidR="00CD0EE4" w:rsidRDefault="00CD0EE4">
      <w:r>
        <w:t xml:space="preserve">Частота кварцевого генератора преобразуется с помощью синтезатора. Сигнал с выхода квантового дискриминатора несет информацию об отклонении частоты сигнала кварцевого генератора от частоты перехода. </w:t>
      </w:r>
    </w:p>
    <w:p w:rsidR="00CD0EE4" w:rsidRDefault="00CD0EE4">
      <w:r>
        <w:t xml:space="preserve">Для определения знака отклонения применяется фазовая модуляция в каскадах умножения частоты </w:t>
      </w:r>
      <w:r w:rsidR="00001EC0">
        <w:t xml:space="preserve">кварцевого генератора. </w:t>
      </w:r>
      <w:r w:rsidR="00321AC3">
        <w:t>Поскольку производная по времени от текущей фазы есть частота, то эта процедура означает, что осуществляется частотная модуляция сигнала, поступающего на рабочее вещество. Частота этого сигнала:</w:t>
      </w:r>
    </w:p>
    <w:p w:rsidR="00321AC3" w:rsidRDefault="00486470">
      <w:r w:rsidRPr="005E558E">
        <w:rPr>
          <w:position w:val="-12"/>
        </w:rPr>
        <w:object w:dxaOrig="1960" w:dyaOrig="360">
          <v:shape id="_x0000_i1028" type="#_x0000_t75" style="width:98.25pt;height:18pt" o:ole="">
            <v:imagedata r:id="rId12" o:title=""/>
          </v:shape>
          <o:OLEObject Type="Embed" ProgID="Equation.3" ShapeID="_x0000_i1028" DrawAspect="Content" ObjectID="_1322248052" r:id="rId13"/>
        </w:object>
      </w:r>
    </w:p>
    <w:p w:rsidR="00486470" w:rsidRDefault="00486470">
      <w:r>
        <w:rPr>
          <w:i/>
          <w:lang w:val="en-US"/>
        </w:rPr>
        <w:t>f</w:t>
      </w:r>
      <w:r>
        <w:t xml:space="preserve"> – частота кварцевого генератора, </w:t>
      </w:r>
      <w:r>
        <w:rPr>
          <w:i/>
          <w:lang w:val="en-US"/>
        </w:rPr>
        <w:t>n</w:t>
      </w:r>
      <w:r>
        <w:t xml:space="preserve"> – кратность умножения, </w:t>
      </w:r>
      <w:r>
        <w:rPr>
          <w:i/>
          <w:lang w:val="en-US"/>
        </w:rPr>
        <w:t>b</w:t>
      </w:r>
      <w:r>
        <w:rPr>
          <w:vertAlign w:val="subscript"/>
          <w:lang w:val="en-US"/>
        </w:rPr>
        <w:t>m</w:t>
      </w:r>
      <w:r w:rsidRPr="00486470">
        <w:t xml:space="preserve"> </w:t>
      </w:r>
      <w:r>
        <w:t>–</w:t>
      </w:r>
      <w:r w:rsidRPr="00486470">
        <w:t xml:space="preserve"> </w:t>
      </w:r>
      <w:r>
        <w:t xml:space="preserve">амплитуда, </w:t>
      </w:r>
      <w:r>
        <w:rPr>
          <w:rFonts w:ascii="Symbol" w:hAnsi="Symbol"/>
          <w:lang w:val="en-US"/>
        </w:rPr>
        <w:t></w:t>
      </w:r>
      <w:r>
        <w:rPr>
          <w:vertAlign w:val="subscript"/>
          <w:lang w:val="en-US"/>
        </w:rPr>
        <w:t>m</w:t>
      </w:r>
      <w:r w:rsidRPr="00486470">
        <w:t xml:space="preserve"> </w:t>
      </w:r>
      <w:r>
        <w:t>–</w:t>
      </w:r>
      <w:r w:rsidRPr="00486470">
        <w:t xml:space="preserve"> </w:t>
      </w:r>
      <w:r>
        <w:t>частота модуляции.</w:t>
      </w:r>
    </w:p>
    <w:p w:rsidR="00486470" w:rsidRDefault="00486470">
      <w:r>
        <w:t>Поэтому амплитуда индуцированного поглощения будет характеризоваться зависимостью:</w:t>
      </w:r>
    </w:p>
    <w:p w:rsidR="00486470" w:rsidRDefault="00486470">
      <w:r w:rsidRPr="005E558E">
        <w:rPr>
          <w:position w:val="-12"/>
        </w:rPr>
        <w:object w:dxaOrig="2700" w:dyaOrig="360">
          <v:shape id="_x0000_i1029" type="#_x0000_t75" style="width:135pt;height:18pt" o:ole="">
            <v:imagedata r:id="rId14" o:title=""/>
          </v:shape>
          <o:OLEObject Type="Embed" ProgID="Equation.3" ShapeID="_x0000_i1029" DrawAspect="Content" ObjectID="_1322248053" r:id="rId15"/>
        </w:object>
      </w:r>
      <w:r w:rsidR="00592764">
        <w:t xml:space="preserve">  (1)</w:t>
      </w:r>
    </w:p>
    <w:p w:rsidR="00486470" w:rsidRDefault="00486470">
      <w:r>
        <w:t xml:space="preserve">Если амплитуда модуляции </w:t>
      </w:r>
      <w:r w:rsidR="00592764">
        <w:t xml:space="preserve">частоты невелика по сравнению с шириной линии, то функцию формы линии можно аппроксимировать прямой линией и величина </w:t>
      </w:r>
      <w:r w:rsidR="00592764">
        <w:rPr>
          <w:i/>
          <w:lang w:val="en-US"/>
        </w:rPr>
        <w:t>A</w:t>
      </w:r>
      <w:r w:rsidR="00592764">
        <w:rPr>
          <w:i/>
          <w:vertAlign w:val="subscript"/>
          <w:lang w:val="en-US"/>
        </w:rPr>
        <w:t>m</w:t>
      </w:r>
      <w:r w:rsidR="00592764">
        <w:t xml:space="preserve"> определится:</w:t>
      </w:r>
    </w:p>
    <w:p w:rsidR="00592764" w:rsidRDefault="00592764">
      <w:r w:rsidRPr="005E558E">
        <w:rPr>
          <w:position w:val="-14"/>
        </w:rPr>
        <w:object w:dxaOrig="1719" w:dyaOrig="400">
          <v:shape id="_x0000_i1030" type="#_x0000_t75" style="width:86.25pt;height:20.25pt" o:ole="">
            <v:imagedata r:id="rId16" o:title=""/>
          </v:shape>
          <o:OLEObject Type="Embed" ProgID="Equation.3" ShapeID="_x0000_i1030" DrawAspect="Content" ObjectID="_1322248054" r:id="rId17"/>
        </w:object>
      </w:r>
      <w:r>
        <w:t xml:space="preserve">  (2)</w:t>
      </w:r>
    </w:p>
    <w:p w:rsidR="00592764" w:rsidRPr="00A34DCF" w:rsidRDefault="00592764">
      <w:r w:rsidRPr="005E558E">
        <w:rPr>
          <w:position w:val="-10"/>
        </w:rPr>
        <w:object w:dxaOrig="279" w:dyaOrig="320">
          <v:shape id="_x0000_i1031" type="#_x0000_t75" style="width:14.25pt;height:15.75pt" o:ole="">
            <v:imagedata r:id="rId18" o:title=""/>
          </v:shape>
          <o:OLEObject Type="Embed" ProgID="Equation.3" ShapeID="_x0000_i1031" DrawAspect="Content" ObjectID="_1322248055" r:id="rId19"/>
        </w:object>
      </w:r>
      <w:r>
        <w:t xml:space="preserve"> - производная формы по частоте. </w:t>
      </w:r>
      <w:r>
        <w:rPr>
          <w:i/>
        </w:rPr>
        <w:t>К</w:t>
      </w:r>
      <w:r>
        <w:t xml:space="preserve"> – коэффициент преобразования детектора спектральной линии. Если сигнал (1) подать на фазовый детектор, то на его выходе получится сигнал</w:t>
      </w:r>
      <w:r w:rsidR="00A34DCF">
        <w:t xml:space="preserve"> пропорциональный производной. В средней части получается прямолинейная зависимость, т.е. сигнал на выходе ФД пропорционален отклонению частоты </w:t>
      </w:r>
      <w:r w:rsidR="00A34DCF">
        <w:rPr>
          <w:i/>
          <w:lang w:val="en-US"/>
        </w:rPr>
        <w:t>nf</w:t>
      </w:r>
      <w:r w:rsidR="00A34DCF">
        <w:t xml:space="preserve"> от центральной части спектральной линии. Замкнув цепь обратной связи через схему управления , легко получить автоматическую подстройку частоты кварцевого </w:t>
      </w:r>
      <w:r w:rsidR="00A34DCF">
        <w:lastRenderedPageBreak/>
        <w:t>генератора к частоте линии. Погрешность регулирования при относительном смещении частоты кварцевого генератора 10</w:t>
      </w:r>
      <w:r w:rsidR="00A34DCF">
        <w:rPr>
          <w:vertAlign w:val="superscript"/>
        </w:rPr>
        <w:t>-7</w:t>
      </w:r>
      <w:r w:rsidR="00A34DCF">
        <w:t xml:space="preserve"> за месяц составляет 10</w:t>
      </w:r>
      <w:r w:rsidR="00A34DCF">
        <w:rPr>
          <w:vertAlign w:val="superscript"/>
        </w:rPr>
        <w:t>-12</w:t>
      </w:r>
      <w:r w:rsidR="00A34DCF">
        <w:t xml:space="preserve"> – 10</w:t>
      </w:r>
      <w:r w:rsidR="00A34DCF">
        <w:rPr>
          <w:vertAlign w:val="superscript"/>
        </w:rPr>
        <w:t>-15</w:t>
      </w:r>
      <w:r w:rsidR="00A34DCF">
        <w:t>.</w:t>
      </w:r>
    </w:p>
    <w:p w:rsidR="005F486A" w:rsidRDefault="005F486A">
      <w:pPr>
        <w:rPr>
          <w:i/>
        </w:rPr>
      </w:pPr>
    </w:p>
    <w:p w:rsidR="00747A63" w:rsidRDefault="00242A61">
      <w:r w:rsidRPr="005F486A">
        <w:rPr>
          <w:i/>
        </w:rPr>
        <w:t>Напоминание.</w:t>
      </w:r>
      <w:r>
        <w:t xml:space="preserve"> Поскольку </w:t>
      </w:r>
      <w:r w:rsidRPr="003858C3">
        <w:rPr>
          <w:position w:val="-10"/>
        </w:rPr>
        <w:object w:dxaOrig="1860" w:dyaOrig="360">
          <v:shape id="_x0000_i1032" type="#_x0000_t75" style="width:93pt;height:18pt" o:ole="">
            <v:imagedata r:id="rId20" o:title=""/>
          </v:shape>
          <o:OLEObject Type="Embed" ProgID="Equation.3" ShapeID="_x0000_i1032" DrawAspect="Content" ObjectID="_1322248056" r:id="rId21"/>
        </w:object>
      </w:r>
      <w:r>
        <w:t>, в области радиодиапазона индуцированное излучение гораздо больше спонтанного. Результирующая мощность излучения в этом случае</w:t>
      </w:r>
    </w:p>
    <w:p w:rsidR="00242A61" w:rsidRDefault="008848AF">
      <w:r w:rsidRPr="003858C3">
        <w:rPr>
          <w:position w:val="-12"/>
        </w:rPr>
        <w:object w:dxaOrig="3460" w:dyaOrig="360">
          <v:shape id="_x0000_i1033" type="#_x0000_t75" style="width:173.25pt;height:18pt" o:ole="">
            <v:imagedata r:id="rId22" o:title=""/>
          </v:shape>
          <o:OLEObject Type="Embed" ProgID="Equation.3" ShapeID="_x0000_i1033" DrawAspect="Content" ObjectID="_1322248057" r:id="rId23"/>
        </w:object>
      </w:r>
      <w:r w:rsidR="00526927">
        <w:t xml:space="preserve">  (</w:t>
      </w:r>
      <w:r w:rsidR="00592764">
        <w:t>3</w:t>
      </w:r>
      <w:r w:rsidR="00526927">
        <w:t>)</w:t>
      </w:r>
    </w:p>
    <w:p w:rsidR="00242A61" w:rsidRDefault="00242A61">
      <w:r>
        <w:t>Для увеличения мощности электромагнитного поля необходима инверсная заселенность.</w:t>
      </w:r>
      <w:r w:rsidR="008848AF">
        <w:t xml:space="preserve"> </w:t>
      </w:r>
      <w:r w:rsidR="00724796">
        <w:t>(</w:t>
      </w:r>
      <w:r w:rsidR="008848AF">
        <w:rPr>
          <w:i/>
          <w:lang w:val="en-US"/>
        </w:rPr>
        <w:t>g</w:t>
      </w:r>
      <w:r w:rsidR="008848AF" w:rsidRPr="008848AF">
        <w:t>(</w:t>
      </w:r>
      <w:r w:rsidR="008848AF" w:rsidRPr="008848AF">
        <w:rPr>
          <w:rFonts w:ascii="Symbol" w:hAnsi="Symbol"/>
          <w:i/>
          <w:lang w:val="en-US"/>
        </w:rPr>
        <w:t></w:t>
      </w:r>
      <w:r w:rsidR="008848AF">
        <w:rPr>
          <w:rFonts w:ascii="Symbol" w:hAnsi="Symbol"/>
          <w:lang w:val="en-US"/>
        </w:rPr>
        <w:t></w:t>
      </w:r>
      <w:r w:rsidR="008848AF">
        <w:t xml:space="preserve">  учитывает форму спектральной линии</w:t>
      </w:r>
      <w:r w:rsidR="00724796">
        <w:t>)</w:t>
      </w:r>
      <w:r w:rsidR="008848AF">
        <w:t>.</w:t>
      </w:r>
    </w:p>
    <w:p w:rsidR="008848AF" w:rsidRDefault="008848AF">
      <w:r>
        <w:t xml:space="preserve">Факторы, определяющие уширение линий. </w:t>
      </w:r>
    </w:p>
    <w:p w:rsidR="006720F8" w:rsidRDefault="006720F8">
      <w:r>
        <w:t xml:space="preserve">Рассмотрим динамику изменения населенности энергетических состояний в двухуровневой системе. Существуют переходы, связанные с действием внешнего поля, с вероятностью </w:t>
      </w:r>
      <w:r>
        <w:rPr>
          <w:i/>
          <w:lang w:val="en-US"/>
        </w:rPr>
        <w:t>W</w:t>
      </w:r>
      <w:r w:rsidRPr="00526927">
        <w:rPr>
          <w:vertAlign w:val="subscript"/>
        </w:rPr>
        <w:t>12</w:t>
      </w:r>
      <w:r>
        <w:rPr>
          <w:vertAlign w:val="subscript"/>
        </w:rPr>
        <w:t xml:space="preserve">. </w:t>
      </w:r>
      <w:r w:rsidR="00526927">
        <w:t xml:space="preserve"> Кроме этого происходят релаксационные переходы с вероятностями </w:t>
      </w:r>
      <w:r w:rsidR="00526927">
        <w:rPr>
          <w:i/>
          <w:lang w:val="en-US"/>
        </w:rPr>
        <w:t>w</w:t>
      </w:r>
      <w:r w:rsidR="00526927" w:rsidRPr="00526927">
        <w:rPr>
          <w:vertAlign w:val="subscript"/>
        </w:rPr>
        <w:t>12</w:t>
      </w:r>
      <w:r w:rsidR="00526927" w:rsidRPr="00526927">
        <w:t xml:space="preserve"> </w:t>
      </w:r>
      <w:r w:rsidR="00526927">
        <w:t xml:space="preserve">и </w:t>
      </w:r>
      <w:r w:rsidR="00526927">
        <w:rPr>
          <w:i/>
          <w:lang w:val="en-US"/>
        </w:rPr>
        <w:t>w</w:t>
      </w:r>
      <w:r w:rsidR="00526927" w:rsidRPr="00526927">
        <w:rPr>
          <w:vertAlign w:val="subscript"/>
        </w:rPr>
        <w:t>21</w:t>
      </w:r>
      <w:r w:rsidR="00526927">
        <w:t>. Изменение населенности 1 уровня определяется уравнением:</w:t>
      </w:r>
    </w:p>
    <w:p w:rsidR="00526927" w:rsidRDefault="00526927">
      <w:r w:rsidRPr="003858C3">
        <w:rPr>
          <w:position w:val="-24"/>
        </w:rPr>
        <w:object w:dxaOrig="3300" w:dyaOrig="620">
          <v:shape id="_x0000_i1034" type="#_x0000_t75" style="width:165pt;height:30.75pt" o:ole="">
            <v:imagedata r:id="rId24" o:title=""/>
          </v:shape>
          <o:OLEObject Type="Embed" ProgID="Equation.3" ShapeID="_x0000_i1034" DrawAspect="Content" ObjectID="_1322248058" r:id="rId25"/>
        </w:object>
      </w:r>
      <w:r>
        <w:t xml:space="preserve">  (2)</w:t>
      </w:r>
    </w:p>
    <w:p w:rsidR="00526927" w:rsidRDefault="003B1DC5">
      <w:r>
        <w:t>Условие замкнутости системы</w:t>
      </w:r>
    </w:p>
    <w:p w:rsidR="003B1DC5" w:rsidRDefault="003B1DC5">
      <w:r w:rsidRPr="003858C3">
        <w:rPr>
          <w:position w:val="-10"/>
        </w:rPr>
        <w:object w:dxaOrig="1140" w:dyaOrig="340">
          <v:shape id="_x0000_i1035" type="#_x0000_t75" style="width:57pt;height:17.25pt" o:ole="">
            <v:imagedata r:id="rId26" o:title=""/>
          </v:shape>
          <o:OLEObject Type="Embed" ProgID="Equation.3" ShapeID="_x0000_i1035" DrawAspect="Content" ObjectID="_1322248059" r:id="rId27"/>
        </w:object>
      </w:r>
      <w:r>
        <w:t xml:space="preserve">   (3)</w:t>
      </w:r>
    </w:p>
    <w:p w:rsidR="003B1DC5" w:rsidRDefault="003B1DC5">
      <w:r>
        <w:t>Решение системы:</w:t>
      </w:r>
    </w:p>
    <w:p w:rsidR="003B1DC5" w:rsidRDefault="003B1DC5">
      <w:r w:rsidRPr="003858C3">
        <w:rPr>
          <w:position w:val="-24"/>
        </w:rPr>
        <w:object w:dxaOrig="4180" w:dyaOrig="620">
          <v:shape id="_x0000_i1036" type="#_x0000_t75" style="width:209.25pt;height:30.75pt" o:ole="">
            <v:imagedata r:id="rId28" o:title=""/>
          </v:shape>
          <o:OLEObject Type="Embed" ProgID="Equation.3" ShapeID="_x0000_i1036" DrawAspect="Content" ObjectID="_1322248060" r:id="rId29"/>
        </w:object>
      </w:r>
      <w:r>
        <w:t xml:space="preserve">  (4)</w:t>
      </w:r>
    </w:p>
    <w:p w:rsidR="00C67A89" w:rsidRDefault="006603BA">
      <w:r>
        <w:t>Из этого уравнения следуют очевидные и легко получаемые соотношения:</w:t>
      </w:r>
    </w:p>
    <w:p w:rsidR="006603BA" w:rsidRDefault="00DD71A3">
      <w:r>
        <w:t>Равновесное стационарное значение разности населенности уровней:</w:t>
      </w:r>
    </w:p>
    <w:p w:rsidR="00DD71A3" w:rsidRDefault="00DD71A3">
      <w:r w:rsidRPr="00EE41B7">
        <w:rPr>
          <w:position w:val="-30"/>
        </w:rPr>
        <w:object w:dxaOrig="1800" w:dyaOrig="680">
          <v:shape id="_x0000_i1037" type="#_x0000_t75" style="width:90pt;height:33.75pt" o:ole="">
            <v:imagedata r:id="rId30" o:title=""/>
          </v:shape>
          <o:OLEObject Type="Embed" ProgID="Equation.3" ShapeID="_x0000_i1037" DrawAspect="Content" ObjectID="_1322248061" r:id="rId31"/>
        </w:object>
      </w:r>
      <w:r>
        <w:t xml:space="preserve">         (5)</w:t>
      </w:r>
    </w:p>
    <w:p w:rsidR="00DD71A3" w:rsidRDefault="00DD71A3">
      <w:r>
        <w:t>Уравнение (4) можно записать в виде:</w:t>
      </w:r>
    </w:p>
    <w:p w:rsidR="00DD71A3" w:rsidRDefault="00DD71A3">
      <w:r w:rsidRPr="00EE41B7">
        <w:rPr>
          <w:position w:val="-24"/>
        </w:rPr>
        <w:object w:dxaOrig="4480" w:dyaOrig="620">
          <v:shape id="_x0000_i1038" type="#_x0000_t75" style="width:224.25pt;height:30.75pt" o:ole="">
            <v:imagedata r:id="rId32" o:title=""/>
          </v:shape>
          <o:OLEObject Type="Embed" ProgID="Equation.3" ShapeID="_x0000_i1038" DrawAspect="Content" ObjectID="_1322248062" r:id="rId33"/>
        </w:object>
      </w:r>
      <w:r>
        <w:t xml:space="preserve">    (6)</w:t>
      </w:r>
    </w:p>
    <w:p w:rsidR="00DD71A3" w:rsidRDefault="00F21F9E">
      <w:r>
        <w:t xml:space="preserve">Введя стационарное значение </w:t>
      </w:r>
    </w:p>
    <w:p w:rsidR="00F21F9E" w:rsidRDefault="00F21F9E">
      <w:r w:rsidRPr="00EE41B7">
        <w:rPr>
          <w:position w:val="-32"/>
        </w:rPr>
        <w:object w:dxaOrig="2600" w:dyaOrig="800">
          <v:shape id="_x0000_i1039" type="#_x0000_t75" style="width:129.75pt;height:39.75pt" o:ole="">
            <v:imagedata r:id="rId34" o:title=""/>
          </v:shape>
          <o:OLEObject Type="Embed" ProgID="Equation.3" ShapeID="_x0000_i1039" DrawAspect="Content" ObjectID="_1322248063" r:id="rId35"/>
        </w:object>
      </w:r>
      <w:r>
        <w:t xml:space="preserve">    (7)</w:t>
      </w:r>
    </w:p>
    <w:p w:rsidR="00F21F9E" w:rsidRDefault="00F21F9E">
      <w:r>
        <w:t>Имеем ожидаемое решение в виде:</w:t>
      </w:r>
    </w:p>
    <w:p w:rsidR="00F21F9E" w:rsidRDefault="00F71F59">
      <w:r w:rsidRPr="00EE41B7">
        <w:rPr>
          <w:position w:val="-32"/>
        </w:rPr>
        <w:object w:dxaOrig="3660" w:dyaOrig="760">
          <v:shape id="_x0000_i1040" type="#_x0000_t75" style="width:183pt;height:38.25pt" o:ole="">
            <v:imagedata r:id="rId36" o:title=""/>
          </v:shape>
          <o:OLEObject Type="Embed" ProgID="Equation.3" ShapeID="_x0000_i1040" DrawAspect="Content" ObjectID="_1322248064" r:id="rId37"/>
        </w:object>
      </w:r>
      <w:r>
        <w:t xml:space="preserve">   (8)</w:t>
      </w:r>
    </w:p>
    <w:p w:rsidR="00F71F59" w:rsidRDefault="00F71F59">
      <w:r>
        <w:lastRenderedPageBreak/>
        <w:t xml:space="preserve">где </w:t>
      </w:r>
      <w:r w:rsidRPr="00EE41B7">
        <w:rPr>
          <w:position w:val="-30"/>
        </w:rPr>
        <w:object w:dxaOrig="2000" w:dyaOrig="680">
          <v:shape id="_x0000_i1041" type="#_x0000_t75" style="width:99.75pt;height:33.75pt" o:ole="">
            <v:imagedata r:id="rId38" o:title=""/>
          </v:shape>
          <o:OLEObject Type="Embed" ProgID="Equation.3" ShapeID="_x0000_i1041" DrawAspect="Content" ObjectID="_1322248065" r:id="rId39"/>
        </w:object>
      </w:r>
      <w:r>
        <w:t xml:space="preserve">         (9)</w:t>
      </w:r>
    </w:p>
    <w:p w:rsidR="00F71F59" w:rsidRDefault="00F71F59">
      <w:r>
        <w:t>Из приведенных уравнений следует, что стационарное состояние устанавливается быстрее в присутствии внешнего излучения</w:t>
      </w:r>
      <w:r w:rsidR="00D7786E">
        <w:t xml:space="preserve">. Видно также, что </w:t>
      </w:r>
      <w:r w:rsidR="00D7786E" w:rsidRPr="00EE41B7">
        <w:rPr>
          <w:position w:val="-6"/>
        </w:rPr>
        <w:object w:dxaOrig="1380" w:dyaOrig="320">
          <v:shape id="_x0000_i1042" type="#_x0000_t75" style="width:69pt;height:15.75pt" o:ole="">
            <v:imagedata r:id="rId40" o:title=""/>
          </v:shape>
          <o:OLEObject Type="Embed" ProgID="Equation.3" ShapeID="_x0000_i1042" DrawAspect="Content" ObjectID="_1322248066" r:id="rId41"/>
        </w:object>
      </w:r>
      <w:r w:rsidR="00D7786E">
        <w:t>, т.е. с помощью внешнего излучения нельзя достигнуть стационарного состояния с инверсной населенностью.</w:t>
      </w:r>
    </w:p>
    <w:sectPr w:rsidR="00F71F59">
      <w:headerReference w:type="even" r:id="rId42"/>
      <w:headerReference w:type="defaul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B8C" w:rsidRDefault="00421B8C">
      <w:pPr>
        <w:spacing w:line="240" w:lineRule="auto"/>
      </w:pPr>
      <w:r>
        <w:separator/>
      </w:r>
    </w:p>
  </w:endnote>
  <w:endnote w:type="continuationSeparator" w:id="0">
    <w:p w:rsidR="00421B8C" w:rsidRDefault="00421B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B8C" w:rsidRDefault="00421B8C">
      <w:pPr>
        <w:spacing w:line="240" w:lineRule="auto"/>
      </w:pPr>
      <w:r>
        <w:separator/>
      </w:r>
    </w:p>
  </w:footnote>
  <w:footnote w:type="continuationSeparator" w:id="0">
    <w:p w:rsidR="00421B8C" w:rsidRDefault="00421B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86A" w:rsidRDefault="005F486A" w:rsidP="005F486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F486A" w:rsidRDefault="005F486A" w:rsidP="005F486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86A" w:rsidRDefault="005F486A" w:rsidP="005F486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C60ED">
      <w:rPr>
        <w:rStyle w:val="a4"/>
        <w:noProof/>
      </w:rPr>
      <w:t>4</w:t>
    </w:r>
    <w:r>
      <w:rPr>
        <w:rStyle w:val="a4"/>
      </w:rPr>
      <w:fldChar w:fldCharType="end"/>
    </w:r>
  </w:p>
  <w:p w:rsidR="005F486A" w:rsidRDefault="005F486A" w:rsidP="005F486A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1497A"/>
    <w:rsid w:val="00001EC0"/>
    <w:rsid w:val="00021B7A"/>
    <w:rsid w:val="00046396"/>
    <w:rsid w:val="00086CEA"/>
    <w:rsid w:val="00101F2E"/>
    <w:rsid w:val="00195FEA"/>
    <w:rsid w:val="001C68CF"/>
    <w:rsid w:val="00242A61"/>
    <w:rsid w:val="002936BA"/>
    <w:rsid w:val="002F15CC"/>
    <w:rsid w:val="00321AC3"/>
    <w:rsid w:val="003B1DC5"/>
    <w:rsid w:val="00421B8C"/>
    <w:rsid w:val="00476566"/>
    <w:rsid w:val="00486470"/>
    <w:rsid w:val="004D575E"/>
    <w:rsid w:val="00512F95"/>
    <w:rsid w:val="00526927"/>
    <w:rsid w:val="00592764"/>
    <w:rsid w:val="00594C68"/>
    <w:rsid w:val="005E68C9"/>
    <w:rsid w:val="005F486A"/>
    <w:rsid w:val="00641F14"/>
    <w:rsid w:val="006603BA"/>
    <w:rsid w:val="006720F8"/>
    <w:rsid w:val="00687478"/>
    <w:rsid w:val="00724796"/>
    <w:rsid w:val="00732046"/>
    <w:rsid w:val="00747A63"/>
    <w:rsid w:val="00850A0B"/>
    <w:rsid w:val="008848AF"/>
    <w:rsid w:val="008F50EB"/>
    <w:rsid w:val="009157F6"/>
    <w:rsid w:val="00920AB0"/>
    <w:rsid w:val="009455F9"/>
    <w:rsid w:val="00951E47"/>
    <w:rsid w:val="009945E0"/>
    <w:rsid w:val="00A1497A"/>
    <w:rsid w:val="00A25354"/>
    <w:rsid w:val="00A34DCF"/>
    <w:rsid w:val="00C67A89"/>
    <w:rsid w:val="00CC5438"/>
    <w:rsid w:val="00CC60ED"/>
    <w:rsid w:val="00CD0EE4"/>
    <w:rsid w:val="00D30B58"/>
    <w:rsid w:val="00D64C94"/>
    <w:rsid w:val="00D7786E"/>
    <w:rsid w:val="00DD71A3"/>
    <w:rsid w:val="00ED1529"/>
    <w:rsid w:val="00F209AF"/>
    <w:rsid w:val="00F21F9E"/>
    <w:rsid w:val="00F71F59"/>
    <w:rsid w:val="00F75619"/>
    <w:rsid w:val="00FA2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EA"/>
    <w:pPr>
      <w:spacing w:line="360" w:lineRule="auto"/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101F2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32046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455F9"/>
    <w:pPr>
      <w:keepNext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51E47"/>
    <w:pPr>
      <w:keepNext/>
      <w:spacing w:before="240"/>
      <w:ind w:firstLine="720"/>
      <w:outlineLvl w:val="3"/>
    </w:pPr>
    <w:rPr>
      <w:b/>
      <w:bCs/>
      <w:sz w:val="26"/>
      <w:szCs w:val="28"/>
      <w:lang w:val="en-US" w:eastAsia="en-US"/>
    </w:rPr>
  </w:style>
  <w:style w:type="paragraph" w:styleId="5">
    <w:name w:val="heading 5"/>
    <w:basedOn w:val="a"/>
    <w:next w:val="a"/>
    <w:qFormat/>
    <w:rsid w:val="00FA24BA"/>
    <w:pPr>
      <w:keepNext/>
      <w:spacing w:before="240" w:after="60"/>
      <w:ind w:firstLine="72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4">
    <w:name w:val="heading 4"/>
    <w:basedOn w:val="a"/>
    <w:next w:val="a"/>
    <w:rsid w:val="00920AB0"/>
    <w:pPr>
      <w:keepNext/>
      <w:keepLines/>
      <w:ind w:firstLine="0"/>
      <w:jc w:val="left"/>
    </w:pPr>
    <w:rPr>
      <w:b/>
      <w:sz w:val="26"/>
      <w:szCs w:val="28"/>
    </w:rPr>
  </w:style>
  <w:style w:type="paragraph" w:styleId="a3">
    <w:name w:val="header"/>
    <w:basedOn w:val="a"/>
    <w:rsid w:val="005F4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F486A"/>
  </w:style>
  <w:style w:type="paragraph" w:styleId="a5">
    <w:name w:val="Balloon Text"/>
    <w:basedOn w:val="a"/>
    <w:semiHidden/>
    <w:rsid w:val="005F48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header" Target="head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Лекция 8</vt:lpstr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Лекция 8</dc:title>
  <dc:creator>Dell</dc:creator>
  <cp:lastModifiedBy>Лео</cp:lastModifiedBy>
  <cp:revision>2</cp:revision>
  <cp:lastPrinted>2008-10-20T16:01:00Z</cp:lastPrinted>
  <dcterms:created xsi:type="dcterms:W3CDTF">2009-12-13T19:21:00Z</dcterms:created>
  <dcterms:modified xsi:type="dcterms:W3CDTF">2009-12-13T19:21:00Z</dcterms:modified>
</cp:coreProperties>
</file>